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301F" w14:textId="09FE58E0" w:rsidR="00255E5A" w:rsidRPr="00397138" w:rsidRDefault="008725EC">
      <w:pPr>
        <w:rPr>
          <w:sz w:val="28"/>
          <w:szCs w:val="28"/>
        </w:rPr>
      </w:pPr>
      <w:r>
        <w:rPr>
          <w:sz w:val="28"/>
          <w:szCs w:val="28"/>
        </w:rPr>
        <w:t>Certified Electronic Health Records Specialist (CEHRS) P</w:t>
      </w:r>
      <w:r w:rsidR="00925C4F" w:rsidRPr="00397138">
        <w:rPr>
          <w:sz w:val="28"/>
          <w:szCs w:val="28"/>
        </w:rPr>
        <w:t>rogram</w:t>
      </w:r>
    </w:p>
    <w:p w14:paraId="5B313020" w14:textId="5DBB8A53" w:rsidR="00925C4F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240"/>
      </w:tblGrid>
      <w:tr w:rsidR="0098722D" w:rsidRPr="00925C4F" w14:paraId="5B313023" w14:textId="77777777" w:rsidTr="00935D0A">
        <w:tc>
          <w:tcPr>
            <w:tcW w:w="5328" w:type="dxa"/>
            <w:shd w:val="clear" w:color="auto" w:fill="C6D9F1" w:themeFill="text2" w:themeFillTint="33"/>
          </w:tcPr>
          <w:p w14:paraId="5B313021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5B31302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8725EC" w14:paraId="5B31302F" w14:textId="77777777" w:rsidTr="001B6467">
        <w:tc>
          <w:tcPr>
            <w:tcW w:w="5328" w:type="dxa"/>
            <w:vAlign w:val="bottom"/>
          </w:tcPr>
          <w:p w14:paraId="5B31302D" w14:textId="0C98309E" w:rsidR="008725EC" w:rsidRPr="00E06A84" w:rsidRDefault="008725EC" w:rsidP="008725E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CEHRS</w:t>
            </w:r>
          </w:p>
        </w:tc>
        <w:tc>
          <w:tcPr>
            <w:tcW w:w="3240" w:type="dxa"/>
          </w:tcPr>
          <w:p w14:paraId="5B31302E" w14:textId="1D1A0027" w:rsidR="008725EC" w:rsidRDefault="008725EC" w:rsidP="008725EC">
            <w:pPr>
              <w:rPr>
                <w:sz w:val="24"/>
                <w:szCs w:val="24"/>
              </w:rPr>
            </w:pPr>
          </w:p>
        </w:tc>
      </w:tr>
      <w:tr w:rsidR="008725EC" w14:paraId="08F7B76A" w14:textId="77777777" w:rsidTr="001B6467">
        <w:tc>
          <w:tcPr>
            <w:tcW w:w="5328" w:type="dxa"/>
            <w:vAlign w:val="center"/>
          </w:tcPr>
          <w:p w14:paraId="6305FFA7" w14:textId="458DDB84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I.    </w:t>
            </w:r>
            <w:r w:rsidRPr="008725EC">
              <w:rPr>
                <w:rFonts w:ascii="Cambria" w:hAnsi="Cambria"/>
                <w:bCs/>
                <w:color w:val="000000"/>
              </w:rPr>
              <w:t>An Overview of EHR and CEHRS</w:t>
            </w:r>
          </w:p>
        </w:tc>
        <w:tc>
          <w:tcPr>
            <w:tcW w:w="3240" w:type="dxa"/>
          </w:tcPr>
          <w:p w14:paraId="782D9D47" w14:textId="5257F3D9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8725EC" w14:paraId="3354348C" w14:textId="77777777" w:rsidTr="001B6467">
        <w:tc>
          <w:tcPr>
            <w:tcW w:w="5328" w:type="dxa"/>
            <w:vAlign w:val="center"/>
          </w:tcPr>
          <w:p w14:paraId="2244127C" w14:textId="6E2B20AE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II.    </w:t>
            </w:r>
            <w:r w:rsidRPr="008725EC">
              <w:rPr>
                <w:rFonts w:ascii="Cambria" w:hAnsi="Cambria"/>
                <w:bCs/>
                <w:color w:val="000000"/>
              </w:rPr>
              <w:t>Steps to EHR Implementation</w:t>
            </w:r>
          </w:p>
        </w:tc>
        <w:tc>
          <w:tcPr>
            <w:tcW w:w="3240" w:type="dxa"/>
          </w:tcPr>
          <w:p w14:paraId="2885E2A2" w14:textId="18533B3B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2-3</w:t>
            </w:r>
          </w:p>
        </w:tc>
      </w:tr>
      <w:tr w:rsidR="008725EC" w14:paraId="421DF86E" w14:textId="77777777" w:rsidTr="001B6467">
        <w:tc>
          <w:tcPr>
            <w:tcW w:w="5328" w:type="dxa"/>
            <w:vAlign w:val="center"/>
          </w:tcPr>
          <w:p w14:paraId="4070B494" w14:textId="0791A93A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III.    </w:t>
            </w:r>
            <w:r w:rsidRPr="008725EC">
              <w:rPr>
                <w:rFonts w:ascii="Cambria" w:hAnsi="Cambria"/>
                <w:bCs/>
                <w:color w:val="000000"/>
              </w:rPr>
              <w:t>The EHR Framework</w:t>
            </w:r>
          </w:p>
        </w:tc>
        <w:tc>
          <w:tcPr>
            <w:tcW w:w="3240" w:type="dxa"/>
          </w:tcPr>
          <w:p w14:paraId="3ECC63D0" w14:textId="5E13918A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8725EC" w14:paraId="5B313032" w14:textId="77777777" w:rsidTr="001B6467">
        <w:tc>
          <w:tcPr>
            <w:tcW w:w="5328" w:type="dxa"/>
            <w:vAlign w:val="center"/>
          </w:tcPr>
          <w:p w14:paraId="5B313030" w14:textId="7A15CCD7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IV.    </w:t>
            </w:r>
            <w:r w:rsidRPr="008725EC">
              <w:rPr>
                <w:rFonts w:ascii="Cambria" w:hAnsi="Cambria"/>
                <w:bCs/>
                <w:color w:val="000000"/>
              </w:rPr>
              <w:t>HIPAA Requirements and EHR Systems</w:t>
            </w:r>
          </w:p>
        </w:tc>
        <w:tc>
          <w:tcPr>
            <w:tcW w:w="3240" w:type="dxa"/>
          </w:tcPr>
          <w:p w14:paraId="5B313031" w14:textId="7AF58B8C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5-6</w:t>
            </w:r>
          </w:p>
        </w:tc>
      </w:tr>
      <w:tr w:rsidR="008725EC" w14:paraId="03C71EBE" w14:textId="77777777" w:rsidTr="001B6467">
        <w:tc>
          <w:tcPr>
            <w:tcW w:w="5328" w:type="dxa"/>
            <w:vAlign w:val="center"/>
          </w:tcPr>
          <w:p w14:paraId="4EBAB19A" w14:textId="31604BD8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V.    </w:t>
            </w:r>
            <w:r w:rsidRPr="008725EC">
              <w:rPr>
                <w:rFonts w:ascii="Cambria" w:hAnsi="Cambria"/>
                <w:bCs/>
                <w:color w:val="000000"/>
              </w:rPr>
              <w:t>The EHR and Record Content</w:t>
            </w:r>
          </w:p>
        </w:tc>
        <w:tc>
          <w:tcPr>
            <w:tcW w:w="3240" w:type="dxa"/>
          </w:tcPr>
          <w:p w14:paraId="6B3C4F9D" w14:textId="326FE5CC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8725EC" w14:paraId="30710C61" w14:textId="77777777" w:rsidTr="001B6467">
        <w:tc>
          <w:tcPr>
            <w:tcW w:w="5328" w:type="dxa"/>
            <w:vAlign w:val="center"/>
          </w:tcPr>
          <w:p w14:paraId="08F3174C" w14:textId="564A5B22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VI.    </w:t>
            </w:r>
            <w:r w:rsidRPr="008725EC">
              <w:rPr>
                <w:rFonts w:ascii="Cambria" w:hAnsi="Cambria"/>
                <w:bCs/>
                <w:color w:val="000000"/>
              </w:rPr>
              <w:t>Patient Visit Management</w:t>
            </w:r>
          </w:p>
        </w:tc>
        <w:tc>
          <w:tcPr>
            <w:tcW w:w="3240" w:type="dxa"/>
          </w:tcPr>
          <w:p w14:paraId="70D181E4" w14:textId="10511678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8-9</w:t>
            </w:r>
          </w:p>
        </w:tc>
      </w:tr>
      <w:tr w:rsidR="008725EC" w14:paraId="4CA853F8" w14:textId="77777777" w:rsidTr="001B6467">
        <w:tc>
          <w:tcPr>
            <w:tcW w:w="5328" w:type="dxa"/>
            <w:vAlign w:val="center"/>
          </w:tcPr>
          <w:p w14:paraId="42D94389" w14:textId="7D9713FF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VII.   </w:t>
            </w:r>
            <w:r w:rsidRPr="008725EC">
              <w:rPr>
                <w:rFonts w:ascii="Cambria" w:hAnsi="Cambria"/>
                <w:bCs/>
                <w:color w:val="000000"/>
              </w:rPr>
              <w:t>Problem, Medication, and Allergy Lists</w:t>
            </w:r>
          </w:p>
        </w:tc>
        <w:tc>
          <w:tcPr>
            <w:tcW w:w="3240" w:type="dxa"/>
          </w:tcPr>
          <w:p w14:paraId="2400C593" w14:textId="5D74D26B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</w:tr>
      <w:tr w:rsidR="008725EC" w14:paraId="4B6354F8" w14:textId="77777777" w:rsidTr="001B6467">
        <w:tc>
          <w:tcPr>
            <w:tcW w:w="5328" w:type="dxa"/>
            <w:vAlign w:val="center"/>
          </w:tcPr>
          <w:p w14:paraId="70AA3A71" w14:textId="27E70603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VIII.   </w:t>
            </w:r>
            <w:r w:rsidRPr="008725EC">
              <w:rPr>
                <w:rFonts w:ascii="Cambria" w:hAnsi="Cambria"/>
                <w:bCs/>
                <w:color w:val="000000"/>
              </w:rPr>
              <w:t>Examination/Assessment Notes, Graphics, and Charts</w:t>
            </w:r>
          </w:p>
        </w:tc>
        <w:tc>
          <w:tcPr>
            <w:tcW w:w="3240" w:type="dxa"/>
          </w:tcPr>
          <w:p w14:paraId="4D90E9BA" w14:textId="1AEF1C06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11-12</w:t>
            </w:r>
          </w:p>
        </w:tc>
      </w:tr>
      <w:tr w:rsidR="008725EC" w14:paraId="0DDBA21B" w14:textId="77777777" w:rsidTr="001B6467">
        <w:tc>
          <w:tcPr>
            <w:tcW w:w="5328" w:type="dxa"/>
            <w:vAlign w:val="center"/>
          </w:tcPr>
          <w:p w14:paraId="3CBF841D" w14:textId="64DE7BFA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IX.    </w:t>
            </w:r>
            <w:r w:rsidRPr="008725EC">
              <w:rPr>
                <w:rFonts w:ascii="Cambria" w:hAnsi="Cambria"/>
                <w:bCs/>
                <w:color w:val="000000"/>
              </w:rPr>
              <w:t>Treatment Plans, Orders, and Results</w:t>
            </w:r>
          </w:p>
        </w:tc>
        <w:tc>
          <w:tcPr>
            <w:tcW w:w="3240" w:type="dxa"/>
          </w:tcPr>
          <w:p w14:paraId="1A3C1418" w14:textId="0CE7C600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</w:tr>
      <w:tr w:rsidR="008725EC" w14:paraId="6992FD09" w14:textId="77777777" w:rsidTr="001B6467">
        <w:tc>
          <w:tcPr>
            <w:tcW w:w="5328" w:type="dxa"/>
            <w:vAlign w:val="center"/>
          </w:tcPr>
          <w:p w14:paraId="3DE6A0ED" w14:textId="46470C52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X.    </w:t>
            </w:r>
            <w:r w:rsidRPr="008725EC">
              <w:rPr>
                <w:rFonts w:ascii="Cambria" w:hAnsi="Cambria"/>
                <w:bCs/>
                <w:color w:val="000000"/>
              </w:rPr>
              <w:t>Medication Orders and Administration</w:t>
            </w:r>
          </w:p>
        </w:tc>
        <w:tc>
          <w:tcPr>
            <w:tcW w:w="3240" w:type="dxa"/>
          </w:tcPr>
          <w:p w14:paraId="53B88A00" w14:textId="7FD424F4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14-15</w:t>
            </w:r>
          </w:p>
        </w:tc>
      </w:tr>
      <w:tr w:rsidR="008725EC" w14:paraId="15C6220C" w14:textId="77777777" w:rsidTr="001B6467">
        <w:tc>
          <w:tcPr>
            <w:tcW w:w="5328" w:type="dxa"/>
            <w:vAlign w:val="center"/>
          </w:tcPr>
          <w:p w14:paraId="470236B5" w14:textId="2EB09236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XI.    </w:t>
            </w:r>
            <w:r w:rsidRPr="008725EC">
              <w:rPr>
                <w:rFonts w:ascii="Cambria" w:hAnsi="Cambria"/>
                <w:bCs/>
                <w:color w:val="000000"/>
              </w:rPr>
              <w:t>Patient Communications</w:t>
            </w:r>
          </w:p>
        </w:tc>
        <w:tc>
          <w:tcPr>
            <w:tcW w:w="3240" w:type="dxa"/>
          </w:tcPr>
          <w:p w14:paraId="3AF9A1EF" w14:textId="738C15EE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16</w:t>
            </w:r>
          </w:p>
        </w:tc>
      </w:tr>
      <w:tr w:rsidR="008725EC" w14:paraId="43CB52DD" w14:textId="77777777" w:rsidTr="001B6467">
        <w:tc>
          <w:tcPr>
            <w:tcW w:w="5328" w:type="dxa"/>
            <w:vAlign w:val="center"/>
          </w:tcPr>
          <w:p w14:paraId="6D14E020" w14:textId="46E5F516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XII.    </w:t>
            </w:r>
            <w:r w:rsidRPr="008725EC">
              <w:rPr>
                <w:rFonts w:ascii="Cambria" w:hAnsi="Cambria"/>
                <w:bCs/>
                <w:color w:val="000000"/>
              </w:rPr>
              <w:t>Coding, Billing, and Practice Reports</w:t>
            </w:r>
          </w:p>
        </w:tc>
        <w:tc>
          <w:tcPr>
            <w:tcW w:w="3240" w:type="dxa"/>
          </w:tcPr>
          <w:p w14:paraId="54E72D8D" w14:textId="333A3F4A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17-18</w:t>
            </w:r>
          </w:p>
        </w:tc>
      </w:tr>
      <w:tr w:rsidR="008725EC" w14:paraId="573D5CAB" w14:textId="77777777" w:rsidTr="001B6467">
        <w:tc>
          <w:tcPr>
            <w:tcW w:w="5328" w:type="dxa"/>
            <w:vAlign w:val="bottom"/>
          </w:tcPr>
          <w:p w14:paraId="6A36BD8D" w14:textId="7EF8342A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XIII.   </w:t>
            </w:r>
            <w:r w:rsidRPr="008725EC">
              <w:rPr>
                <w:rFonts w:ascii="Cambria" w:hAnsi="Cambria"/>
                <w:bCs/>
                <w:color w:val="000000"/>
              </w:rPr>
              <w:t>Research, Registries, and Reportable Events</w:t>
            </w:r>
          </w:p>
        </w:tc>
        <w:tc>
          <w:tcPr>
            <w:tcW w:w="3240" w:type="dxa"/>
          </w:tcPr>
          <w:p w14:paraId="5112BF2F" w14:textId="0BD61D54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</w:t>
            </w:r>
          </w:p>
        </w:tc>
      </w:tr>
      <w:tr w:rsidR="008725EC" w14:paraId="4399C5B9" w14:textId="77777777" w:rsidTr="001B6467">
        <w:tc>
          <w:tcPr>
            <w:tcW w:w="5328" w:type="dxa"/>
            <w:vAlign w:val="center"/>
          </w:tcPr>
          <w:p w14:paraId="39FF3B56" w14:textId="12F63409" w:rsidR="008725EC" w:rsidRPr="008725EC" w:rsidRDefault="008725EC" w:rsidP="008725EC">
            <w:pPr>
              <w:ind w:left="702"/>
              <w:rPr>
                <w:rFonts w:ascii="Calibri" w:hAnsi="Calibri"/>
              </w:rPr>
            </w:pPr>
            <w:r w:rsidRPr="008725EC">
              <w:rPr>
                <w:rFonts w:ascii="Cambria" w:hAnsi="Cambria"/>
                <w:color w:val="000000"/>
              </w:rPr>
              <w:t xml:space="preserve">XIV.   </w:t>
            </w:r>
            <w:r w:rsidRPr="008725EC">
              <w:rPr>
                <w:rFonts w:ascii="Cambria" w:hAnsi="Cambria"/>
                <w:bCs/>
                <w:color w:val="000000"/>
              </w:rPr>
              <w:t>Personal Health Records and Continuing Care Records</w:t>
            </w:r>
          </w:p>
        </w:tc>
        <w:tc>
          <w:tcPr>
            <w:tcW w:w="3240" w:type="dxa"/>
          </w:tcPr>
          <w:p w14:paraId="0F9433F4" w14:textId="42717042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20-21</w:t>
            </w:r>
          </w:p>
        </w:tc>
      </w:tr>
      <w:tr w:rsidR="008725EC" w14:paraId="21CEA068" w14:textId="77777777" w:rsidTr="00A753FF">
        <w:tc>
          <w:tcPr>
            <w:tcW w:w="5328" w:type="dxa"/>
          </w:tcPr>
          <w:p w14:paraId="332114AA" w14:textId="0A36EBA7" w:rsidR="008725EC" w:rsidRPr="00E06A84" w:rsidRDefault="008725EC" w:rsidP="008725E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Microsoft Excel Advanced Functions</w:t>
            </w:r>
          </w:p>
        </w:tc>
        <w:tc>
          <w:tcPr>
            <w:tcW w:w="3240" w:type="dxa"/>
          </w:tcPr>
          <w:p w14:paraId="1722817F" w14:textId="17B0C064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</w:t>
            </w:r>
          </w:p>
        </w:tc>
      </w:tr>
      <w:tr w:rsidR="008725EC" w14:paraId="62D873C1" w14:textId="77777777" w:rsidTr="00A753FF">
        <w:tc>
          <w:tcPr>
            <w:tcW w:w="5328" w:type="dxa"/>
          </w:tcPr>
          <w:p w14:paraId="0EEC8343" w14:textId="77FB29DA" w:rsidR="008725EC" w:rsidRPr="00E06A84" w:rsidRDefault="008725EC" w:rsidP="008725E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Medical Transcription -Module 3: editing Records</w:t>
            </w:r>
          </w:p>
        </w:tc>
        <w:tc>
          <w:tcPr>
            <w:tcW w:w="3240" w:type="dxa"/>
          </w:tcPr>
          <w:p w14:paraId="22744DC6" w14:textId="6DA3442C" w:rsidR="008725EC" w:rsidRDefault="008725EC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23-26</w:t>
            </w:r>
          </w:p>
        </w:tc>
      </w:tr>
    </w:tbl>
    <w:p w14:paraId="5B313045" w14:textId="77777777" w:rsidR="0098722D" w:rsidRDefault="0098722D">
      <w:pPr>
        <w:rPr>
          <w:sz w:val="24"/>
          <w:szCs w:val="24"/>
        </w:rPr>
      </w:pPr>
    </w:p>
    <w:p w14:paraId="5B31304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B313047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B313048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</w:t>
      </w:r>
      <w:bookmarkStart w:id="0" w:name="_GoBack"/>
      <w:bookmarkEnd w:id="0"/>
      <w:r>
        <w:rPr>
          <w:sz w:val="24"/>
          <w:szCs w:val="24"/>
        </w:rPr>
        <w:t>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F2"/>
    <w:multiLevelType w:val="hybridMultilevel"/>
    <w:tmpl w:val="9B3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70210"/>
    <w:rsid w:val="00255E5A"/>
    <w:rsid w:val="00397138"/>
    <w:rsid w:val="004C2BCA"/>
    <w:rsid w:val="006042BA"/>
    <w:rsid w:val="00802B8D"/>
    <w:rsid w:val="00811FDA"/>
    <w:rsid w:val="008629A3"/>
    <w:rsid w:val="008725EC"/>
    <w:rsid w:val="009157D5"/>
    <w:rsid w:val="00925C4F"/>
    <w:rsid w:val="00935D0A"/>
    <w:rsid w:val="00972C20"/>
    <w:rsid w:val="0098722D"/>
    <w:rsid w:val="009D5D12"/>
    <w:rsid w:val="009E1B42"/>
    <w:rsid w:val="00AF1ED9"/>
    <w:rsid w:val="00B2071D"/>
    <w:rsid w:val="00D61E92"/>
    <w:rsid w:val="00E06A84"/>
    <w:rsid w:val="00EB5CE3"/>
    <w:rsid w:val="00F47AC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2</cp:revision>
  <dcterms:created xsi:type="dcterms:W3CDTF">2017-01-11T20:39:00Z</dcterms:created>
  <dcterms:modified xsi:type="dcterms:W3CDTF">2017-01-11T20:39:00Z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